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15C" w:rsidRDefault="001A115C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:rsidR="001A115C" w:rsidRDefault="001A115C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:rsidR="001A115C" w:rsidRDefault="00713CDB">
      <w:pPr>
        <w:pStyle w:val="NoSpacing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1A115C" w:rsidRDefault="00713CD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Subdirección Académica</w:t>
      </w:r>
    </w:p>
    <w:p w:rsidR="001A115C" w:rsidRDefault="001A115C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1A115C" w:rsidRDefault="001A115C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106" w:type="dxa"/>
        <w:jc w:val="center"/>
        <w:tblCellMar>
          <w:left w:w="158" w:type="dxa"/>
        </w:tblCellMar>
        <w:tblLook w:val="04A0" w:firstRow="1" w:lastRow="0" w:firstColumn="1" w:lastColumn="0" w:noHBand="0" w:noVBand="1"/>
      </w:tblPr>
      <w:tblGrid>
        <w:gridCol w:w="1024"/>
        <w:gridCol w:w="3082"/>
      </w:tblGrid>
      <w:tr w:rsidR="001A115C">
        <w:trPr>
          <w:jc w:val="center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A115C" w:rsidRDefault="00C955B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Enero –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Junio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2018</w:t>
            </w: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CellMar>
          <w:left w:w="158" w:type="dxa"/>
        </w:tblCellMar>
        <w:tblLook w:val="04A0" w:firstRow="1" w:lastRow="0" w:firstColumn="1" w:lastColumn="0" w:noHBand="0" w:noVBand="1"/>
      </w:tblPr>
      <w:tblGrid>
        <w:gridCol w:w="3680"/>
        <w:gridCol w:w="9316"/>
      </w:tblGrid>
      <w:tr w:rsidR="001A115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Formulación y Evaluación de Proyectos</w:t>
            </w:r>
          </w:p>
        </w:tc>
      </w:tr>
      <w:tr w:rsidR="001A115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Industrial</w:t>
            </w:r>
          </w:p>
        </w:tc>
      </w:tr>
      <w:tr w:rsidR="001A115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AED-1030</w:t>
            </w:r>
          </w:p>
        </w:tc>
      </w:tr>
      <w:tr w:rsidR="001A115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eGrid"/>
        <w:tblW w:w="12996" w:type="dxa"/>
        <w:tblInd w:w="-50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12996"/>
      </w:tblGrid>
      <w:tr w:rsidR="001A115C">
        <w:tc>
          <w:tcPr>
            <w:tcW w:w="12996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eastAsiaTheme="minorEastAsia" w:hAnsi="Arial" w:cs="Arial"/>
                <w:spacing w:val="-7"/>
                <w:sz w:val="20"/>
                <w:szCs w:val="20"/>
                <w:lang w:val="es-ES" w:eastAsia="es-ES"/>
              </w:rPr>
              <w:t>Esta asignatura aporta al perfil del Ingeniero Industrial e Ingeniero en Logística la capacidad para formular, evaluar y gestionar proyectos de inversión, que le permitan emprender la creación de unidades productivas de bienes y servicios bajo criterios de competitividad y sustentabilidad. De igual forma lo capacita para incubar nuevas empresas con base tecnológica que promuevan el desarrollo económico de su región.</w:t>
            </w:r>
          </w:p>
          <w:p w:rsidR="001A115C" w:rsidRDefault="00713CDB">
            <w:pPr>
              <w:pStyle w:val="NoSpacing"/>
            </w:pPr>
            <w:r>
              <w:rPr>
                <w:rFonts w:ascii="Arial" w:eastAsiaTheme="minorEastAsia" w:hAnsi="Arial" w:cs="Arial"/>
                <w:spacing w:val="-7"/>
                <w:sz w:val="20"/>
                <w:szCs w:val="20"/>
                <w:lang w:val="es-ES" w:eastAsia="es-ES"/>
              </w:rPr>
              <w:t>Es una asignatura integradora donde el estudiante aplica una proporción importante de las competencias como: 1) evaluar y proponer alternativas de los fenómenos económicos-financieros a través del tiempo y los procesos logísticos, con el fin de incrementar la productividad; 2) diseñar y fundamentar un proyecto que involucre sistemas de suministro con actitud crítica, flexible y tolerante; 3) elaborar y evaluar planes de producción, 4) realizar los estudios de localización, diseño y distribución de la planta, 5) diseñar los planes relacionados con el producto y los sistemas de producción de bienes y servicios para la toma de decisiones y gestión de sistemas productivos competitivos y sostenibles, así como 6) proponer sistemas de manufactura vanguardistas para la mejora continua.</w:t>
            </w: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eGrid"/>
        <w:tblW w:w="12996" w:type="dxa"/>
        <w:tblInd w:w="-50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12996"/>
      </w:tblGrid>
      <w:tr w:rsidR="001A115C">
        <w:tc>
          <w:tcPr>
            <w:tcW w:w="12996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Esta asignatura responde a la necesidad del estudiante de Ingeniería Industrial e Ingeniería en Logística de realizar un proyecto de inversión. De manera específica, el programa se concentra en analizar y aplicar las distintas metodologías de formulación y evaluación de proyectos, desde un enfoque integral. El primer tema establece los fundamentos para diagnosticar el grado de aceptación de la idea de proyecto y las bases para realizar un análisis estratégico que permita determinar el tipo de inversión más conveniente, con la finalidad de que el estudiante lleve a cabo el diagnóstico y análisis de las características del proyecto. El segundo tema presenta el estudio del mercado dirigido al proyecto integral, a partir de la segmentación del mercado, análisis de la oferta y la demanda, determinación de la demanda potencial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insatisfecha, la fijación del precio y estrategia comercial. El tercer tema conforma el estudio técnico desde el punto de vista de la Ingeniería del proyecto, incluye el tamaño, localización y distribución de planta, materia prima, procesos de producción, maquinaria y equipo, obra civil y construcción, recursos humanos, programas de producción, programas de ejecución administrativos, de capacitación y asistencia técnica, el cumplimiento de normas sanitarias, ambientales entre otras; para especificar el cuerpo del proyecto y dirigirlo a la culminación. En el tema cuatro se identifican los aspectos jurídicos, desarrolla la filosofía (misión, visión, políticas y objetivos), formula la estructura orgánica de la empresa y describe las actividades de cada puesto de la estructura organizacional.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En el tema cinco y seis se realiza el análisis y evaluación financiera para determinar el monto de las inversiones y la rentabilidad del proyecto, así como evaluar el impacto ecológico, social y económico para proponer las medidas preventivas y/o correctivas pertinentes. Además de los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contenidos, se pretende que en cada tema se desarrollen competencias genéricas tales como: capacidad de investigación, capacidad de aplicar los conocimientos en la práctica, capacidad para organizar y planificar el tiempo, conocimientos sobre el área de estudio y la profesión,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responsabilidad social y compromiso ciudadano, compromiso con la preservación del medio ambiente, capacidad para tomar decisiones.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El docente de la asignatura de Formulación y Evaluación de Proyectos debe tener conocimiento y experiencia en las áreas económicas administrativas, industriales y/o de finanzas para construir escenarios de aprendizaje significativo en los estudiantes que inician su formación.</w:t>
            </w:r>
          </w:p>
        </w:tc>
        <w:bookmarkStart w:id="0" w:name="_GoBack"/>
        <w:bookmarkEnd w:id="0"/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eGrid"/>
        <w:tblW w:w="12996" w:type="dxa"/>
        <w:tblInd w:w="-50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12996"/>
      </w:tblGrid>
      <w:tr w:rsidR="001A115C">
        <w:tc>
          <w:tcPr>
            <w:tcW w:w="12996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Formula, evalúa y gestiona proyectos de inversión, que le permitan desarrollar proyectos integrales para la generación y crecimiento de las empresas bajo criterios de competitividad y sostenibilidad.</w:t>
            </w: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12996" w:type="dxa"/>
        <w:tblCellMar>
          <w:left w:w="158" w:type="dxa"/>
        </w:tblCellMar>
        <w:tblLook w:val="04A0" w:firstRow="1" w:lastRow="0" w:firstColumn="1" w:lastColumn="0" w:noHBand="0" w:noVBand="1"/>
      </w:tblPr>
      <w:tblGrid>
        <w:gridCol w:w="1836"/>
        <w:gridCol w:w="1418"/>
        <w:gridCol w:w="1984"/>
        <w:gridCol w:w="1985"/>
        <w:gridCol w:w="5773"/>
      </w:tblGrid>
      <w:tr w:rsidR="001A115C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A115C" w:rsidRDefault="00713CDB">
            <w:pPr>
              <w:pStyle w:val="FrameContents"/>
              <w:tabs>
                <w:tab w:val="center" w:pos="1338"/>
                <w:tab w:val="center" w:pos="3754"/>
                <w:tab w:val="center" w:pos="7027"/>
                <w:tab w:val="center" w:pos="10396"/>
              </w:tabs>
              <w:spacing w:after="0" w:line="247" w:lineRule="auto"/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>Estudio de Mercado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A115C" w:rsidRDefault="00713CDB">
            <w:pPr>
              <w:pStyle w:val="FrameContents"/>
              <w:spacing w:after="0" w:line="240" w:lineRule="auto"/>
              <w:ind w:hanging="1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 explican las estrategias necesarias para madurar una idea de proyecto que contenga la información necesaria para su realización y patrocinio.</w:t>
            </w: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5" w:type="dxa"/>
        <w:tblInd w:w="-50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2874"/>
        <w:gridCol w:w="2324"/>
        <w:gridCol w:w="2599"/>
        <w:gridCol w:w="2599"/>
        <w:gridCol w:w="2599"/>
      </w:tblGrid>
      <w:tr w:rsidR="001A115C">
        <w:tc>
          <w:tcPr>
            <w:tcW w:w="287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32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59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1A115C">
        <w:tc>
          <w:tcPr>
            <w:tcW w:w="287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ListParagraph"/>
              <w:spacing w:line="259" w:lineRule="auto"/>
              <w:ind w:left="1080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2.1. Segmentación de mercado.</w:t>
            </w:r>
          </w:p>
          <w:p w:rsidR="001A115C" w:rsidRDefault="00713CDB">
            <w:pPr>
              <w:pStyle w:val="ListParagraph"/>
              <w:spacing w:line="259" w:lineRule="auto"/>
              <w:ind w:left="1080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2.2. Producto principal y subproductos y/o servicio.</w:t>
            </w:r>
          </w:p>
          <w:p w:rsidR="001A115C" w:rsidRDefault="00713CDB">
            <w:pPr>
              <w:pStyle w:val="ListParagraph"/>
              <w:spacing w:line="259" w:lineRule="auto"/>
              <w:ind w:left="1080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2.3. Análisis de la demanda.</w:t>
            </w:r>
          </w:p>
          <w:p w:rsidR="001A115C" w:rsidRDefault="00713CDB">
            <w:pPr>
              <w:pStyle w:val="ListParagraph"/>
              <w:spacing w:line="259" w:lineRule="auto"/>
              <w:ind w:left="1080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2.4. Análisis de la oferta.</w:t>
            </w:r>
          </w:p>
          <w:p w:rsidR="001A115C" w:rsidRDefault="00713CDB">
            <w:pPr>
              <w:pStyle w:val="ListParagraph"/>
              <w:spacing w:line="259" w:lineRule="auto"/>
              <w:ind w:left="1080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2.5. Balance entre la oferta y la demanda.</w:t>
            </w:r>
          </w:p>
          <w:p w:rsidR="001A115C" w:rsidRDefault="00713CDB">
            <w:pPr>
              <w:pStyle w:val="ListParagraph"/>
              <w:spacing w:line="259" w:lineRule="auto"/>
              <w:ind w:left="1080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2.6. Estrategia comercial.</w:t>
            </w:r>
          </w:p>
          <w:p w:rsidR="001A115C" w:rsidRDefault="00713CDB">
            <w:pPr>
              <w:pStyle w:val="ListParagraph"/>
              <w:spacing w:line="259" w:lineRule="auto"/>
              <w:ind w:left="1080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2.7. Análisis de precios.</w:t>
            </w:r>
          </w:p>
        </w:tc>
        <w:tc>
          <w:tcPr>
            <w:tcW w:w="232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1. El alumno realizará una investigación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bibliográfica  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en instituciones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correspodientes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(ej. incubadora de empresas) para obtener ideas de proyecto.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2. El alumno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redactará  una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propuesta de proyecto y convence de su factibilidad.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3.- El alumno realizará una presentación por equipos respecto a su idea de negocio.</w:t>
            </w:r>
          </w:p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1.- El profesor explicará le diferencia entre el concepto de marketing y el de ventas.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2.- El profesor mostrará las herramientas bibliográficas para obtener información del mercado.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3.- El profesor explicará el concepto de producto.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4.- El profesor explicará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el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análsiis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 demanda.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5- El profesor explicará las herramientas necesarias para realizar encuestad de mercado.</w:t>
            </w:r>
          </w:p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6. El profesor explica el plan de marketing</w:t>
            </w:r>
          </w:p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1.Capacidad de Abstracción, análisis y síntesis.</w:t>
            </w:r>
          </w:p>
          <w:p w:rsidR="001A115C" w:rsidRDefault="00713CDB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 xml:space="preserve">2.Habilidad para trabajar en forma autónoma. </w:t>
            </w:r>
          </w:p>
          <w:p w:rsidR="001A115C" w:rsidRDefault="00713CDB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 xml:space="preserve">3.Habilidades en el uso de las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TIC’s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.</w:t>
            </w:r>
          </w:p>
          <w:p w:rsidR="001A115C" w:rsidRDefault="00713CDB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4.Capacidad de trabajo en equipo</w:t>
            </w:r>
          </w:p>
        </w:tc>
        <w:tc>
          <w:tcPr>
            <w:tcW w:w="259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15 horas</w:t>
            </w: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rPr>
          <w:rFonts w:ascii="Arial" w:hAnsi="Arial" w:cs="Arial"/>
          <w:sz w:val="20"/>
          <w:szCs w:val="20"/>
        </w:rPr>
      </w:pPr>
      <w:r>
        <w:br w:type="page"/>
      </w: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Ind w:w="-50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6499"/>
        <w:gridCol w:w="6497"/>
      </w:tblGrid>
      <w:tr w:rsidR="001A115C">
        <w:tc>
          <w:tcPr>
            <w:tcW w:w="6498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7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1A115C">
        <w:tc>
          <w:tcPr>
            <w:tcW w:w="6498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Default"/>
            </w:pPr>
            <w:r>
              <w:rPr>
                <w:sz w:val="20"/>
                <w:szCs w:val="20"/>
              </w:rPr>
              <w:t>A. El alumno explica la diferencia entre el enfoque marketing y el enfoque de ventas.</w:t>
            </w:r>
          </w:p>
        </w:tc>
        <w:tc>
          <w:tcPr>
            <w:tcW w:w="6497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1A115C">
        <w:tc>
          <w:tcPr>
            <w:tcW w:w="6498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Default"/>
            </w:pPr>
            <w:r>
              <w:rPr>
                <w:sz w:val="20"/>
                <w:szCs w:val="20"/>
              </w:rPr>
              <w:t xml:space="preserve">B. El alumno enumera las herramientas </w:t>
            </w:r>
            <w:proofErr w:type="spellStart"/>
            <w:r>
              <w:rPr>
                <w:sz w:val="20"/>
                <w:szCs w:val="20"/>
              </w:rPr>
              <w:t>bibliograficas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electróncias</w:t>
            </w:r>
            <w:proofErr w:type="spellEnd"/>
            <w:r>
              <w:rPr>
                <w:sz w:val="20"/>
                <w:szCs w:val="20"/>
              </w:rPr>
              <w:t xml:space="preserve"> para obtener información del </w:t>
            </w:r>
            <w:proofErr w:type="spellStart"/>
            <w:r>
              <w:rPr>
                <w:sz w:val="20"/>
                <w:szCs w:val="20"/>
              </w:rPr>
              <w:t>segemento</w:t>
            </w:r>
            <w:proofErr w:type="spellEnd"/>
            <w:r>
              <w:rPr>
                <w:sz w:val="20"/>
                <w:szCs w:val="20"/>
              </w:rPr>
              <w:t xml:space="preserve"> mercado.</w:t>
            </w:r>
          </w:p>
        </w:tc>
        <w:tc>
          <w:tcPr>
            <w:tcW w:w="6497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1A115C">
        <w:tc>
          <w:tcPr>
            <w:tcW w:w="6498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Default"/>
            </w:pPr>
            <w:r>
              <w:rPr>
                <w:sz w:val="20"/>
                <w:szCs w:val="20"/>
              </w:rPr>
              <w:t>C. El alumno explica el concepto de producto y sus componentes.</w:t>
            </w:r>
          </w:p>
        </w:tc>
        <w:tc>
          <w:tcPr>
            <w:tcW w:w="6497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1A115C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Default"/>
            </w:pPr>
            <w:r>
              <w:rPr>
                <w:sz w:val="20"/>
                <w:szCs w:val="20"/>
              </w:rPr>
              <w:t xml:space="preserve">D. El alumno explica el concepto de oferta y demanda y </w:t>
            </w:r>
            <w:proofErr w:type="spellStart"/>
            <w:r>
              <w:rPr>
                <w:sz w:val="20"/>
                <w:szCs w:val="20"/>
              </w:rPr>
              <w:t>surelación</w:t>
            </w:r>
            <w:proofErr w:type="spellEnd"/>
            <w:r>
              <w:rPr>
                <w:sz w:val="20"/>
                <w:szCs w:val="20"/>
              </w:rPr>
              <w:t xml:space="preserve"> con la determinación del precio del producto.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1A115C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Default"/>
            </w:pPr>
            <w:r>
              <w:rPr>
                <w:sz w:val="20"/>
                <w:szCs w:val="20"/>
              </w:rPr>
              <w:t>E. El alumno explica el contenido del plan de Marketing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1A115C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Default"/>
            </w:pPr>
            <w:r>
              <w:rPr>
                <w:sz w:val="20"/>
                <w:szCs w:val="20"/>
              </w:rPr>
              <w:t>F. El alumno presenta un reporte donde aplica los conceptos vistos en clase al desarrollo de un proyecto propio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14%</w:t>
            </w:r>
          </w:p>
        </w:tc>
      </w:tr>
      <w:tr w:rsidR="001A115C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G. El alumno explica de forma oral y justifica el avance de su proyecto en una presentación por equipos.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t>16%</w:t>
            </w: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 (4.10):</w:t>
      </w: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Ind w:w="-50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3250"/>
        <w:gridCol w:w="3249"/>
        <w:gridCol w:w="3249"/>
        <w:gridCol w:w="3248"/>
      </w:tblGrid>
      <w:tr w:rsidR="001A115C"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8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1A115C">
        <w:tc>
          <w:tcPr>
            <w:tcW w:w="3249" w:type="dxa"/>
            <w:vMerge w:val="restart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Cumple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contodos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los indicadores</w:t>
            </w:r>
          </w:p>
        </w:tc>
        <w:tc>
          <w:tcPr>
            <w:tcW w:w="3248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1A115C">
        <w:tc>
          <w:tcPr>
            <w:tcW w:w="3249" w:type="dxa"/>
            <w:vMerge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6 indicadores y parciamente con un indicador.</w:t>
            </w:r>
          </w:p>
        </w:tc>
        <w:tc>
          <w:tcPr>
            <w:tcW w:w="3248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1A115C">
        <w:tc>
          <w:tcPr>
            <w:tcW w:w="3249" w:type="dxa"/>
            <w:vMerge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5 indicadores y parcialmente con 2 indicadores.</w:t>
            </w:r>
          </w:p>
        </w:tc>
        <w:tc>
          <w:tcPr>
            <w:tcW w:w="3248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1A115C">
        <w:tc>
          <w:tcPr>
            <w:tcW w:w="3249" w:type="dxa"/>
            <w:vMerge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Falla con 5 indicadores</w:t>
            </w:r>
          </w:p>
        </w:tc>
        <w:tc>
          <w:tcPr>
            <w:tcW w:w="3248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1A115C"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menos de 5 indicadores, total o parcialmente.</w:t>
            </w:r>
          </w:p>
        </w:tc>
        <w:tc>
          <w:tcPr>
            <w:tcW w:w="3248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 (4.11):</w:t>
      </w: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5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15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524"/>
        <w:gridCol w:w="560"/>
        <w:gridCol w:w="624"/>
        <w:gridCol w:w="538"/>
        <w:gridCol w:w="449"/>
        <w:gridCol w:w="551"/>
        <w:gridCol w:w="457"/>
        <w:gridCol w:w="1834"/>
        <w:gridCol w:w="2541"/>
        <w:gridCol w:w="91"/>
        <w:gridCol w:w="3431"/>
      </w:tblGrid>
      <w:tr w:rsidR="001A115C">
        <w:trPr>
          <w:trHeight w:val="290"/>
        </w:trPr>
        <w:tc>
          <w:tcPr>
            <w:tcW w:w="14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1A115C">
            <w:pPr>
              <w:spacing w:after="0" w:line="240" w:lineRule="auto"/>
              <w:jc w:val="center"/>
            </w:pP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1A115C">
            <w:pPr>
              <w:spacing w:after="0" w:line="240" w:lineRule="auto"/>
              <w:jc w:val="center"/>
            </w:pP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1A115C">
            <w:pPr>
              <w:spacing w:after="0" w:line="240" w:lineRule="auto"/>
              <w:jc w:val="center"/>
            </w:pP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1A115C">
            <w:pPr>
              <w:spacing w:after="0" w:line="240" w:lineRule="auto"/>
              <w:jc w:val="center"/>
            </w:pP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1A115C">
            <w:pPr>
              <w:spacing w:after="0" w:line="240" w:lineRule="auto"/>
              <w:jc w:val="center"/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1A115C">
            <w:pPr>
              <w:spacing w:after="0" w:line="240" w:lineRule="auto"/>
              <w:jc w:val="center"/>
            </w:pP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1A115C">
            <w:pPr>
              <w:spacing w:after="0" w:line="240" w:lineRule="auto"/>
              <w:jc w:val="center"/>
            </w:pPr>
          </w:p>
        </w:tc>
        <w:tc>
          <w:tcPr>
            <w:tcW w:w="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1A115C">
            <w:pPr>
              <w:spacing w:after="0" w:line="240" w:lineRule="auto"/>
              <w:jc w:val="center"/>
            </w:pPr>
          </w:p>
        </w:tc>
        <w:tc>
          <w:tcPr>
            <w:tcW w:w="344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A115C">
        <w:trPr>
          <w:trHeight w:val="290"/>
        </w:trPr>
        <w:tc>
          <w:tcPr>
            <w:tcW w:w="14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1A115C" w:rsidRDefault="001A1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1A115C" w:rsidRDefault="001A1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713CDB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713CDB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713CDB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A115C" w:rsidRDefault="00713CDB">
            <w:pPr>
              <w:spacing w:after="0" w:line="240" w:lineRule="auto"/>
              <w:jc w:val="center"/>
            </w:pPr>
            <w:r>
              <w:t>Total</w:t>
            </w:r>
          </w:p>
        </w:tc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1A115C" w:rsidRDefault="001A1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A115C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5.6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t>6.4</w:t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Debe responder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correcamente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las preguntas realizadas</w:t>
            </w:r>
          </w:p>
        </w:tc>
      </w:tr>
      <w:tr w:rsidR="001A115C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 de Avance de Proyecto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Debe redactar el reporte en función de los conceptos explicados en clase</w:t>
            </w:r>
          </w:p>
        </w:tc>
      </w:tr>
      <w:tr w:rsidR="001A115C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Presentación de Proyecto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Debe de presentar un resumen de la idea de negocio y responder satisfactoriamente a 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pregutnas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del profesor y de sus compañeros de clase.</w:t>
            </w:r>
          </w:p>
        </w:tc>
      </w:tr>
      <w:tr w:rsidR="001A115C">
        <w:trPr>
          <w:trHeight w:val="290"/>
        </w:trPr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Asistencia</w:t>
            </w:r>
          </w:p>
        </w:tc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1.4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t>1.6</w:t>
            </w:r>
          </w:p>
        </w:tc>
        <w:tc>
          <w:tcPr>
            <w:tcW w:w="26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bottom"/>
          </w:tcPr>
          <w:p w:rsidR="001A115C" w:rsidRDefault="001A1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A115C">
        <w:trPr>
          <w:trHeight w:val="290"/>
        </w:trPr>
        <w:tc>
          <w:tcPr>
            <w:tcW w:w="1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 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2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A115C" w:rsidRDefault="00713C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</w:t>
            </w:r>
          </w:p>
        </w:tc>
        <w:tc>
          <w:tcPr>
            <w:tcW w:w="3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bottom"/>
          </w:tcPr>
          <w:p w:rsidR="001A115C" w:rsidRDefault="001A1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eGrid"/>
        <w:tblW w:w="12996" w:type="dxa"/>
        <w:tblCellMar>
          <w:left w:w="163" w:type="dxa"/>
        </w:tblCellMar>
        <w:tblLook w:val="04A0" w:firstRow="1" w:lastRow="0" w:firstColumn="1" w:lastColumn="0" w:noHBand="0" w:noVBand="1"/>
      </w:tblPr>
      <w:tblGrid>
        <w:gridCol w:w="6499"/>
        <w:gridCol w:w="6497"/>
      </w:tblGrid>
      <w:tr w:rsidR="001A115C">
        <w:tc>
          <w:tcPr>
            <w:tcW w:w="64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A115C">
        <w:trPr>
          <w:trHeight w:val="661"/>
        </w:trPr>
        <w:tc>
          <w:tcPr>
            <w:tcW w:w="6498" w:type="dxa"/>
            <w:shd w:val="clear" w:color="auto" w:fill="auto"/>
            <w:tcMar>
              <w:left w:w="58" w:type="dxa"/>
            </w:tcMar>
          </w:tcPr>
          <w:p w:rsidR="001A115C" w:rsidRPr="00985729" w:rsidRDefault="00713CDB">
            <w:pPr>
              <w:spacing w:after="0"/>
              <w:rPr>
                <w:lang w:val="en-US"/>
              </w:rPr>
            </w:pPr>
            <w:r w:rsidRPr="00985729">
              <w:rPr>
                <w:rFonts w:ascii="Arial" w:hAnsi="Arial" w:cs="Arial"/>
                <w:sz w:val="20"/>
                <w:szCs w:val="20"/>
                <w:lang w:val="en-US"/>
              </w:rPr>
              <w:t xml:space="preserve">Friend, G., &amp; </w:t>
            </w:r>
            <w:proofErr w:type="spellStart"/>
            <w:r w:rsidRPr="00985729">
              <w:rPr>
                <w:rFonts w:ascii="Arial" w:hAnsi="Arial" w:cs="Arial"/>
                <w:sz w:val="20"/>
                <w:szCs w:val="20"/>
                <w:lang w:val="en-US"/>
              </w:rPr>
              <w:t>Zehle</w:t>
            </w:r>
            <w:proofErr w:type="spellEnd"/>
            <w:r w:rsidRPr="00985729">
              <w:rPr>
                <w:rFonts w:ascii="Arial" w:hAnsi="Arial" w:cs="Arial"/>
                <w:sz w:val="20"/>
                <w:szCs w:val="20"/>
                <w:lang w:val="en-US"/>
              </w:rPr>
              <w:t xml:space="preserve">, S. (2004). </w:t>
            </w:r>
            <w:r w:rsidRPr="00985729">
              <w:rPr>
                <w:rFonts w:ascii="Arial" w:hAnsi="Arial" w:cs="Arial"/>
                <w:i/>
                <w:sz w:val="20"/>
                <w:szCs w:val="20"/>
                <w:lang w:val="en-US"/>
              </w:rPr>
              <w:t>Guide to business planning</w:t>
            </w:r>
            <w:r w:rsidRPr="00985729">
              <w:rPr>
                <w:rFonts w:ascii="Arial" w:hAnsi="Arial" w:cs="Arial"/>
                <w:sz w:val="20"/>
                <w:szCs w:val="20"/>
                <w:lang w:val="en-US"/>
              </w:rPr>
              <w:t>. Profile Books Limited.</w:t>
            </w:r>
          </w:p>
          <w:p w:rsidR="001A115C" w:rsidRPr="00985729" w:rsidRDefault="001A115C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115C" w:rsidRPr="00985729" w:rsidRDefault="009A0FF8">
            <w:pPr>
              <w:spacing w:after="0"/>
              <w:rPr>
                <w:lang w:val="en-US"/>
              </w:rPr>
            </w:pPr>
            <w:hyperlink r:id="rId7">
              <w:r w:rsidR="00713CDB" w:rsidRPr="00985729">
                <w:rPr>
                  <w:rStyle w:val="InternetLink"/>
                  <w:rFonts w:ascii="Arial" w:hAnsi="Arial" w:cs="Arial"/>
                  <w:sz w:val="20"/>
                  <w:szCs w:val="20"/>
                  <w:lang w:val="en-US"/>
                </w:rPr>
                <w:t>http://www.fondopyme.gob.mx/</w:t>
              </w:r>
            </w:hyperlink>
          </w:p>
          <w:p w:rsidR="001A115C" w:rsidRPr="00985729" w:rsidRDefault="001A115C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115C" w:rsidRPr="00985729" w:rsidRDefault="00713CDB">
            <w:pPr>
              <w:spacing w:after="0"/>
              <w:rPr>
                <w:lang w:val="en-US"/>
              </w:rPr>
            </w:pPr>
            <w:r w:rsidRPr="00985729">
              <w:rPr>
                <w:rFonts w:ascii="Arial" w:hAnsi="Arial" w:cs="Arial"/>
                <w:sz w:val="20"/>
                <w:szCs w:val="20"/>
                <w:lang w:val="en-US"/>
              </w:rPr>
              <w:t>http://www.inegi.org.mx/</w:t>
            </w:r>
          </w:p>
          <w:p w:rsidR="001A115C" w:rsidRPr="00985729" w:rsidRDefault="001A115C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115C" w:rsidRDefault="00713CDB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Otros relevantes</w:t>
            </w:r>
          </w:p>
        </w:tc>
        <w:tc>
          <w:tcPr>
            <w:tcW w:w="6497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spacing w:after="0"/>
            </w:pPr>
            <w:r>
              <w:t>Video proyector</w:t>
            </w:r>
          </w:p>
          <w:p w:rsidR="001A115C" w:rsidRDefault="00713CDB">
            <w:pPr>
              <w:spacing w:after="0"/>
            </w:pPr>
            <w:r>
              <w:t>Laptop</w:t>
            </w:r>
          </w:p>
          <w:p w:rsidR="001A115C" w:rsidRDefault="00713C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marcadores.</w:t>
            </w: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>Calendarización de evaluación en semanas (1-4)</w:t>
      </w: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193" w:type="dxa"/>
        <w:tblInd w:w="-50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960"/>
        <w:gridCol w:w="764"/>
        <w:gridCol w:w="764"/>
        <w:gridCol w:w="764"/>
        <w:gridCol w:w="762"/>
        <w:gridCol w:w="764"/>
        <w:gridCol w:w="764"/>
        <w:gridCol w:w="764"/>
        <w:gridCol w:w="764"/>
        <w:gridCol w:w="765"/>
        <w:gridCol w:w="765"/>
        <w:gridCol w:w="767"/>
        <w:gridCol w:w="765"/>
        <w:gridCol w:w="765"/>
        <w:gridCol w:w="765"/>
        <w:gridCol w:w="765"/>
        <w:gridCol w:w="766"/>
      </w:tblGrid>
      <w:tr w:rsidR="001A115C">
        <w:tc>
          <w:tcPr>
            <w:tcW w:w="960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7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6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1A115C">
        <w:tc>
          <w:tcPr>
            <w:tcW w:w="960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C955B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2" w:type="dxa"/>
            <w:shd w:val="clear" w:color="auto" w:fill="auto"/>
            <w:tcMar>
              <w:left w:w="58" w:type="dxa"/>
            </w:tcMar>
          </w:tcPr>
          <w:p w:rsidR="001A115C" w:rsidRDefault="00C955B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51122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15C">
        <w:tc>
          <w:tcPr>
            <w:tcW w:w="960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15C">
        <w:tc>
          <w:tcPr>
            <w:tcW w:w="960" w:type="dxa"/>
            <w:shd w:val="clear" w:color="auto" w:fill="auto"/>
            <w:tcMar>
              <w:left w:w="58" w:type="dxa"/>
            </w:tcMar>
          </w:tcPr>
          <w:p w:rsidR="001A115C" w:rsidRDefault="00713CD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58" w:type="dxa"/>
            </w:tcMar>
          </w:tcPr>
          <w:p w:rsidR="001A115C" w:rsidRDefault="001A115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sectPr w:rsidR="001A115C">
          <w:footerReference w:type="default" r:id="rId8"/>
          <w:pgSz w:w="15840" w:h="12240" w:orient="landscape"/>
          <w:pgMar w:top="1701" w:right="1417" w:bottom="1134" w:left="1417" w:header="708" w:footer="708" w:gutter="0"/>
          <w:cols w:space="720"/>
          <w:formProt w:val="0"/>
          <w:docGrid w:linePitch="360" w:charSpace="-2049"/>
        </w:sectPr>
      </w:pPr>
    </w:p>
    <w:p w:rsidR="001A115C" w:rsidRDefault="00713CD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TP: Tiempo Planeado</w:t>
      </w:r>
    </w:p>
    <w:p w:rsidR="001A115C" w:rsidRDefault="00713CD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ED: Evaluación diagnóstica</w:t>
      </w: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8506A5" w:rsidP="008506A5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ANGIE BIETZEL </w:t>
      </w:r>
      <w:proofErr w:type="gramStart"/>
      <w:r>
        <w:rPr>
          <w:rFonts w:ascii="Arial" w:hAnsi="Arial" w:cs="Arial"/>
          <w:sz w:val="20"/>
          <w:szCs w:val="20"/>
        </w:rPr>
        <w:t>TREVIÑO  CONTRERAS</w:t>
      </w:r>
      <w:proofErr w:type="gramEnd"/>
    </w:p>
    <w:tbl>
      <w:tblPr>
        <w:tblStyle w:val="TableGrid"/>
        <w:tblpPr w:leftFromText="141" w:rightFromText="141" w:vertAnchor="text" w:horzAnchor="margin" w:tblpXSpec="center" w:tblpY="92"/>
        <w:tblW w:w="11967" w:type="dxa"/>
        <w:tblCellMar>
          <w:left w:w="158" w:type="dxa"/>
        </w:tblCellMar>
        <w:tblLook w:val="04A0" w:firstRow="1" w:lastRow="0" w:firstColumn="1" w:lastColumn="0" w:noHBand="0" w:noVBand="1"/>
      </w:tblPr>
      <w:tblGrid>
        <w:gridCol w:w="5609"/>
        <w:gridCol w:w="781"/>
        <w:gridCol w:w="5577"/>
      </w:tblGrid>
      <w:tr w:rsidR="00277080" w:rsidTr="00277080">
        <w:trPr>
          <w:trHeight w:val="170"/>
        </w:trPr>
        <w:tc>
          <w:tcPr>
            <w:tcW w:w="560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77080" w:rsidRDefault="00277080" w:rsidP="0027708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080" w:rsidRDefault="00277080" w:rsidP="0027708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77080" w:rsidRDefault="00277080" w:rsidP="0027708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080" w:rsidTr="00277080">
        <w:trPr>
          <w:trHeight w:val="180"/>
        </w:trPr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080" w:rsidRDefault="00277080" w:rsidP="0027708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080" w:rsidRDefault="00277080" w:rsidP="0027708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080" w:rsidRDefault="00277080" w:rsidP="0027708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 (de la) Jefe(a) de Departamento Académico</w:t>
            </w:r>
          </w:p>
        </w:tc>
      </w:tr>
    </w:tbl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 w:rsidP="0027708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TR: Tiempo Real</w:t>
      </w:r>
    </w:p>
    <w:p w:rsidR="00277080" w:rsidRDefault="00277080" w:rsidP="00277080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EFn</w:t>
      </w:r>
      <w:proofErr w:type="spellEnd"/>
      <w:r>
        <w:rPr>
          <w:rFonts w:ascii="Arial" w:hAnsi="Arial" w:cs="Arial"/>
          <w:sz w:val="20"/>
          <w:szCs w:val="20"/>
        </w:rPr>
        <w:t>: Evaluación formativa (Competencia específica n)</w:t>
      </w: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XSpec="right" w:tblpY="-57"/>
        <w:tblW w:w="4673" w:type="dxa"/>
        <w:tblCellMar>
          <w:left w:w="158" w:type="dxa"/>
        </w:tblCellMar>
        <w:tblLook w:val="04A0" w:firstRow="1" w:lastRow="0" w:firstColumn="1" w:lastColumn="0" w:noHBand="0" w:noVBand="1"/>
      </w:tblPr>
      <w:tblGrid>
        <w:gridCol w:w="2229"/>
        <w:gridCol w:w="2444"/>
      </w:tblGrid>
      <w:tr w:rsidR="00277080" w:rsidTr="00277080"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080" w:rsidRDefault="00277080" w:rsidP="0027708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77080" w:rsidRDefault="00277080" w:rsidP="0027708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 de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Enero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 2018</w:t>
            </w:r>
          </w:p>
        </w:tc>
      </w:tr>
    </w:tbl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 w:rsidP="0027708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SD: Seguimiento departamental</w:t>
      </w:r>
    </w:p>
    <w:p w:rsidR="00277080" w:rsidRDefault="00277080" w:rsidP="0027708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8506A5" w:rsidRDefault="008506A5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8506A5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M.A ELENA DELIA MARTINEZ SALINAS</w:t>
      </w: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277080" w:rsidRDefault="00277080">
      <w:pPr>
        <w:pStyle w:val="NoSpacing"/>
        <w:rPr>
          <w:rFonts w:ascii="Arial" w:hAnsi="Arial" w:cs="Arial"/>
          <w:sz w:val="20"/>
          <w:szCs w:val="20"/>
        </w:rPr>
      </w:pPr>
    </w:p>
    <w:p w:rsidR="001A115C" w:rsidRDefault="001A115C">
      <w:pPr>
        <w:rPr>
          <w:rFonts w:ascii="Arial" w:hAnsi="Arial" w:cs="Arial"/>
          <w:sz w:val="20"/>
          <w:szCs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1A115C" w:rsidRDefault="001A115C">
      <w:pPr>
        <w:pStyle w:val="NoSpacing"/>
        <w:jc w:val="both"/>
        <w:rPr>
          <w:rFonts w:ascii="Arial" w:hAnsi="Arial" w:cs="Arial"/>
          <w:b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la aportación de la asignatura al perfil profesional. </w:t>
      </w:r>
    </w:p>
    <w:p w:rsidR="001A115C" w:rsidRDefault="00713CDB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la importancia de la asignatura. </w:t>
      </w:r>
    </w:p>
    <w:p w:rsidR="001A115C" w:rsidRDefault="00713CDB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Explicar en qué consiste la asignatura.</w:t>
      </w:r>
    </w:p>
    <w:p w:rsidR="001A115C" w:rsidRDefault="00713CDB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(2) Intención didáctica </w:t>
      </w:r>
    </w:p>
    <w:p w:rsidR="001A115C" w:rsidRDefault="001A115C">
      <w:pPr>
        <w:pStyle w:val="NoSpacing"/>
        <w:jc w:val="both"/>
        <w:rPr>
          <w:rFonts w:ascii="Arial" w:hAnsi="Arial" w:cs="Arial"/>
          <w:b/>
          <w:sz w:val="20"/>
        </w:rPr>
      </w:pPr>
    </w:p>
    <w:p w:rsidR="001A115C" w:rsidRDefault="00713CDB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1A115C" w:rsidRDefault="00713CDB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manera de abordar los contenidos. </w:t>
      </w:r>
    </w:p>
    <w:p w:rsidR="001A115C" w:rsidRDefault="00713CDB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 enfoque con que deben ser tratados. </w:t>
      </w:r>
    </w:p>
    <w:p w:rsidR="001A115C" w:rsidRDefault="00713CDB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extensión y la profundidad de los mismos. </w:t>
      </w:r>
    </w:p>
    <w:p w:rsidR="001A115C" w:rsidRDefault="00713CDB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1A115C" w:rsidRDefault="00713CDB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1A115C" w:rsidRDefault="00713CDB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manera general explicar el papel que debe desempeñar el (la) </w:t>
      </w:r>
      <w:r>
        <w:rPr>
          <w:rFonts w:ascii="Arial" w:hAnsi="Arial" w:cs="Arial"/>
          <w:sz w:val="20"/>
        </w:rPr>
        <w:t xml:space="preserve">profesor(a) para el desarrollo de la asignatura.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(3) Competencia de la asignatura </w:t>
      </w:r>
    </w:p>
    <w:p w:rsidR="001A115C" w:rsidRDefault="001A115C">
      <w:pPr>
        <w:pStyle w:val="NoSpacing"/>
        <w:jc w:val="both"/>
        <w:rPr>
          <w:rFonts w:ascii="Arial" w:hAnsi="Arial" w:cs="Arial"/>
          <w:b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enuncia de manera clara y descriptiva la competencia(s) específica(s) que se pretende que el estudiante desarrolle de manera adecuada respondiendo a la pregunta </w:t>
      </w:r>
      <w:r>
        <w:rPr>
          <w:rFonts w:ascii="Arial" w:hAnsi="Arial" w:cs="Arial"/>
          <w:b/>
          <w:sz w:val="20"/>
        </w:rPr>
        <w:t>¿Qué debe saber y saber hacer el estudiante?</w:t>
      </w:r>
      <w:r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>
        <w:rPr>
          <w:rFonts w:ascii="Arial" w:hAnsi="Arial" w:cs="Arial"/>
          <w:b/>
          <w:sz w:val="20"/>
        </w:rPr>
        <w:t>4) Análisis por competencia específica</w:t>
      </w:r>
      <w:r>
        <w:rPr>
          <w:rFonts w:ascii="Arial" w:hAnsi="Arial" w:cs="Arial"/>
          <w:sz w:val="20"/>
        </w:rPr>
        <w:t xml:space="preserve">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1A115C" w:rsidRDefault="001A115C">
      <w:pPr>
        <w:pStyle w:val="NoSpacing"/>
        <w:jc w:val="both"/>
        <w:rPr>
          <w:rFonts w:ascii="Arial" w:hAnsi="Arial" w:cs="Arial"/>
          <w:b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(4.1) Competencia No.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(4.2) Descripción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>
        <w:rPr>
          <w:rFonts w:ascii="Arial" w:hAnsi="Arial" w:cs="Arial"/>
          <w:b/>
          <w:sz w:val="20"/>
        </w:rPr>
        <w:t>¿Qué debe saber y saber hacer el estudiante?</w:t>
      </w:r>
      <w:r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 presenta el temario de una manera concreta, clara, organizada y secuenciada, evitando una presentación exagerada y enciclopédica.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(4.4) Actividades de aprendizaje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genéricas en el estudiante, competencias fundamentales en su formación pero sobre todo en su futuro desempeño profesional. Actividades tales como las siguientes: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conocimientos y la solución de problemas.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Buscar, seleccionar y analizar información en distintas fuentes.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Uso de las nuevas tecnologías en el desarrollo de los contenidos de la asignatura.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Participar en actividades grupales que propicien la comunicación, el intercambio argumentado de ideas, la reflexión, la integración y la colaboración.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Desarrollar prácticas para que promueva el desarrollo de habilidades para la experimentación, tales como: observación, identificación manejo y control de variables y datos relevantes, planteamiento de hipótesis, de trabajo en equipo.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Aplicar conceptos, modelos y metodologías que se va aprendiendo en el desarrollo de la asignatura.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Usar adecuadamente conceptos, y terminología científico-tecnológica.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Enfrentar problemas que permitan la integración de contenidos de la asignatura y entre distintas asignaturas, para su análisis y solución.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el cuidado del medio ambiente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Observar y analizar fenómenos y problemáticas propias del campo ocupacional.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las demás del plan de estudios para desarrollar una visión interdisciplinaria.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Hablar, redactar, crear ideas, relacionar ideas, expresarlas con claridad, orden y rigor oralmente y por escrito.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Dialogar, argumentar, replicar, discutir, explicar, sostener un punto de vista.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Participar en actividades colectivas, colaborar con otros en trabajos diversos, trabajar en equipo, intercambiar información. </w:t>
      </w:r>
    </w:p>
    <w:p w:rsidR="001A115C" w:rsidRDefault="00713CDB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1A115C" w:rsidRDefault="001A115C">
      <w:pPr>
        <w:pStyle w:val="NoSpacing"/>
        <w:jc w:val="both"/>
        <w:rPr>
          <w:rFonts w:ascii="Arial" w:hAnsi="Arial" w:cs="Arial"/>
          <w:b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(4.5) Actividades de enseñanza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Propiciar, en el estudiante, el desarrollo de actividades intelectuales de inducción-deducción y análisis-síntesis, las cuales lo encaminan hacia la investigación, la aplicación de conocimientos y la solución de problemas.  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colaboración de y entre los estudiantes.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Llevar a cabo actividades prácticas que promuevan el desarrollo de habilidades para la </w:t>
      </w:r>
      <w:r>
        <w:rPr>
          <w:rFonts w:ascii="Arial" w:hAnsi="Arial" w:cs="Arial"/>
          <w:sz w:val="20"/>
        </w:rPr>
        <w:t>experimentación, tales como: observación, identificación manejo y control de variables y datos relevantes, planteamiento de hipótesis, de trabajo en equipo.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 desarrollo de la asignatura.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Propiciar el uso adecuado de conceptos, y de terminología científico tecnológica.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Proponer problemas que permitan al estudiante la integración de contenidos de la asignatura y entre distintas asignaturas, para su análisis y solución. 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el cuidado del medio ambiente; así como con las prácticas de una ingeniería con enfoque sustentable. 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Observar y analizar fenómenos y problemáticas propias del campo ocupacional. </w:t>
      </w:r>
    </w:p>
    <w:p w:rsidR="001A115C" w:rsidRDefault="00713CDB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(4.6) Desarrollo de competencias genéricas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</w:t>
      </w:r>
      <w:r>
        <w:rPr>
          <w:rFonts w:ascii="Arial" w:hAnsi="Arial" w:cs="Arial"/>
          <w:sz w:val="20"/>
        </w:rPr>
        <w:lastRenderedPageBreak/>
        <w:t xml:space="preserve">instrumentación didáctica para la formación y desarrollo de competencias profesionales. A continuación se presentan su definición y características: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ind w:firstLine="708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Competencias genéricas 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instrumentales:</w:t>
      </w:r>
      <w:r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1A115C" w:rsidRDefault="00713CDB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Capacidades metodológicas para manipular el ambiente: ser capaz de organizar el tiempo y las estrategias para el aprendizaje, tomar decisiones o resolver problemas. </w:t>
      </w:r>
    </w:p>
    <w:p w:rsidR="001A115C" w:rsidRDefault="00713CDB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Destrezas tecnológicas relacionadas con el uso de maquinaria, destrezas de computación; así como, de búsqueda y manejo de información.</w:t>
      </w:r>
    </w:p>
    <w:p w:rsidR="001A115C" w:rsidRDefault="00713CDB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1A115C" w:rsidRDefault="001A115C">
      <w:pPr>
        <w:pStyle w:val="NoSpacing"/>
        <w:ind w:left="720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instrumentales: </w:t>
      </w:r>
    </w:p>
    <w:p w:rsidR="001A115C" w:rsidRDefault="00713CDB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de análisis y síntesis</w:t>
      </w:r>
    </w:p>
    <w:p w:rsidR="001A115C" w:rsidRDefault="00713CDB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organizar y planificar </w:t>
      </w:r>
    </w:p>
    <w:p w:rsidR="001A115C" w:rsidRDefault="00713CDB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Conocimientos generales básicos </w:t>
      </w:r>
    </w:p>
    <w:p w:rsidR="001A115C" w:rsidRDefault="00713CDB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Conocimientos básicos de la carrera </w:t>
      </w:r>
    </w:p>
    <w:p w:rsidR="001A115C" w:rsidRDefault="00713CDB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Comunicación oral y escrita en su propia lengua </w:t>
      </w:r>
    </w:p>
    <w:p w:rsidR="001A115C" w:rsidRDefault="00713CDB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 de una segunda lengua </w:t>
      </w:r>
    </w:p>
    <w:p w:rsidR="001A115C" w:rsidRDefault="00713CDB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básicas de manejo de la computadora </w:t>
      </w:r>
    </w:p>
    <w:p w:rsidR="001A115C" w:rsidRDefault="00713CDB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1A115C" w:rsidRDefault="00713CDB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Solución de problemas </w:t>
      </w:r>
    </w:p>
    <w:p w:rsidR="001A115C" w:rsidRDefault="00713CDB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Toma de decisiones.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interpersonales:</w:t>
      </w:r>
      <w:r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sociales relacionadas con las habilidades interpersonales. </w:t>
      </w:r>
    </w:p>
    <w:p w:rsidR="001A115C" w:rsidRDefault="00713CDB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interpersonales: </w:t>
      </w:r>
    </w:p>
    <w:p w:rsidR="001A115C" w:rsidRDefault="00713CDB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crítica y autocrítica</w:t>
      </w:r>
    </w:p>
    <w:p w:rsidR="001A115C" w:rsidRDefault="00713CDB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Trabajo en equipo </w:t>
      </w:r>
    </w:p>
    <w:p w:rsidR="001A115C" w:rsidRDefault="00713CDB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interpersonales </w:t>
      </w:r>
    </w:p>
    <w:p w:rsidR="001A115C" w:rsidRDefault="00713CDB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trabajar en equipo interdisciplinario </w:t>
      </w:r>
    </w:p>
    <w:p w:rsidR="001A115C" w:rsidRDefault="00713CDB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de comunicarse con profesionales de otras áreas</w:t>
      </w:r>
    </w:p>
    <w:p w:rsidR="001A115C" w:rsidRDefault="00713CDB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Apreciación de la diversidad y multiculturalidad </w:t>
      </w:r>
    </w:p>
    <w:p w:rsidR="001A115C" w:rsidRDefault="00713CDB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 para trabajar en un ambiente laboral </w:t>
      </w:r>
    </w:p>
    <w:p w:rsidR="001A115C" w:rsidRDefault="00713CDB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Compromiso ético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sistémicas:</w:t>
      </w:r>
      <w:r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sistémicas: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aplicar los conocimientos en la práctica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de investigación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aprender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adaptarse a nuevas situaciones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generar nuevas ideas (creatividad)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Liderazgo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 de culturas y costumbres de otros países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 para trabajar en forma autónoma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para diseñar y gestionar proyectos 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Iniciativa y espíritu emprendedor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Preocupación por la calidad </w:t>
      </w:r>
    </w:p>
    <w:p w:rsidR="001A115C" w:rsidRDefault="00713CDB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Búsqueda del logro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(4.7) Horas teórico-prácticas</w:t>
      </w:r>
      <w:r>
        <w:rPr>
          <w:rFonts w:ascii="Arial" w:hAnsi="Arial" w:cs="Arial"/>
          <w:sz w:val="20"/>
        </w:rPr>
        <w:t xml:space="preserve">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(4.8) Indicadores de alcance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1A115C" w:rsidRDefault="001A115C">
      <w:pPr>
        <w:pStyle w:val="NoSpacing"/>
        <w:jc w:val="both"/>
        <w:rPr>
          <w:rFonts w:ascii="Arial" w:hAnsi="Arial" w:cs="Arial"/>
          <w:b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(4.9) Valor del indicador</w:t>
      </w:r>
      <w:r>
        <w:rPr>
          <w:rFonts w:ascii="Arial" w:hAnsi="Arial" w:cs="Arial"/>
          <w:sz w:val="20"/>
        </w:rPr>
        <w:t xml:space="preserve">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1A115C" w:rsidRDefault="001A115C">
      <w:pPr>
        <w:pStyle w:val="NoSpacing"/>
        <w:jc w:val="both"/>
        <w:rPr>
          <w:rFonts w:ascii="Arial" w:hAnsi="Arial" w:cs="Arial"/>
          <w:b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(4.10) Niveles de desempeño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(4.11) Matriz de evaluación</w:t>
      </w:r>
      <w:r>
        <w:rPr>
          <w:rFonts w:ascii="Arial" w:hAnsi="Arial" w:cs="Arial"/>
          <w:sz w:val="20"/>
        </w:rPr>
        <w:t xml:space="preserve">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1A115C" w:rsidRDefault="00713CDB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 serán evaluados los estudiantes. A manera de ejemplo la elaboración de una rúbrica o una lista de cotejo.</w:t>
      </w:r>
    </w:p>
    <w:p w:rsidR="001A115C" w:rsidRDefault="00713CDB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Comunicar a los estudiantes, desde el inicio del semestre, las actividades y los productos que se esperan de dichas actividades así como los criterios con que serán evaluados.  </w:t>
      </w:r>
    </w:p>
    <w:p w:rsidR="001A115C" w:rsidRDefault="00713CDB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y asegurar que el estudiante vaya recopilando las evidencias que muestran las actividades y los productos que se </w:t>
      </w:r>
      <w:r>
        <w:rPr>
          <w:rFonts w:ascii="Arial" w:hAnsi="Arial" w:cs="Arial"/>
          <w:sz w:val="20"/>
        </w:rPr>
        <w:t>esperan de dichas actividades; dichas evidencias deben de tomar en cuenta los criterios con que serán evaluados. A manera de ejemplo el portafolio de evidencias.</w:t>
      </w:r>
    </w:p>
    <w:p w:rsidR="001A115C" w:rsidRDefault="00713CDB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aprendizaje de los estudiantes.</w:t>
      </w:r>
    </w:p>
    <w:p w:rsidR="001A115C" w:rsidRDefault="00713CDB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1A115C" w:rsidRDefault="001A115C">
      <w:pPr>
        <w:pStyle w:val="NoSpacing"/>
        <w:jc w:val="both"/>
        <w:rPr>
          <w:rFonts w:ascii="Arial" w:hAnsi="Arial" w:cs="Arial"/>
          <w:b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(5) Fuentes de información y apoyos didácticos</w:t>
      </w:r>
      <w:r>
        <w:rPr>
          <w:rFonts w:ascii="Arial" w:hAnsi="Arial" w:cs="Arial"/>
          <w:sz w:val="20"/>
        </w:rPr>
        <w:t xml:space="preserve">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1A115C" w:rsidRDefault="001A115C">
      <w:pPr>
        <w:pStyle w:val="NoSpacing"/>
        <w:jc w:val="both"/>
        <w:rPr>
          <w:rFonts w:ascii="Arial" w:hAnsi="Arial" w:cs="Arial"/>
          <w:b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(5.1) Fuentes de información</w:t>
      </w:r>
      <w:r>
        <w:rPr>
          <w:rFonts w:ascii="Arial" w:hAnsi="Arial" w:cs="Arial"/>
          <w:sz w:val="20"/>
        </w:rPr>
        <w:t xml:space="preserve">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>
        <w:rPr>
          <w:rFonts w:ascii="Arial" w:hAnsi="Arial" w:cs="Arial"/>
          <w:sz w:val="20"/>
        </w:rPr>
        <w:t>Psychological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Association</w:t>
      </w:r>
      <w:proofErr w:type="spellEnd"/>
      <w:r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(5.2) Apoyo didáctico</w:t>
      </w:r>
      <w:r>
        <w:rPr>
          <w:rFonts w:ascii="Arial" w:hAnsi="Arial" w:cs="Arial"/>
          <w:sz w:val="20"/>
        </w:rPr>
        <w:t xml:space="preserve">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1A115C" w:rsidRDefault="001A115C">
      <w:pPr>
        <w:pStyle w:val="NoSpacing"/>
        <w:jc w:val="both"/>
        <w:rPr>
          <w:rFonts w:ascii="Arial" w:hAnsi="Arial" w:cs="Arial"/>
          <w:sz w:val="20"/>
        </w:rPr>
      </w:pPr>
    </w:p>
    <w:p w:rsidR="001A115C" w:rsidRDefault="00713CDB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(6) Calendarización de evaluación </w:t>
      </w:r>
    </w:p>
    <w:p w:rsidR="001A115C" w:rsidRDefault="00713CDB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>
        <w:rPr>
          <w:rFonts w:ascii="Arial" w:hAnsi="Arial" w:cs="Arial"/>
          <w:sz w:val="20"/>
        </w:rPr>
        <w:t>sumativa</w:t>
      </w:r>
      <w:proofErr w:type="spellEnd"/>
      <w:r>
        <w:rPr>
          <w:rFonts w:ascii="Arial" w:hAnsi="Arial" w:cs="Arial"/>
          <w:sz w:val="20"/>
        </w:rPr>
        <w:t>.</w:t>
      </w:r>
    </w:p>
    <w:p w:rsidR="001A115C" w:rsidRDefault="001A115C">
      <w:pPr>
        <w:pStyle w:val="NoSpacing"/>
      </w:pPr>
    </w:p>
    <w:sectPr w:rsidR="001A115C" w:rsidSect="008506A5">
      <w:type w:val="continuous"/>
      <w:pgSz w:w="15840" w:h="12240" w:orient="landscape"/>
      <w:pgMar w:top="1701" w:right="1417" w:bottom="1134" w:left="1417" w:header="708" w:footer="708" w:gutter="0"/>
      <w:cols w:num="3" w:space="720" w:equalWidth="0">
        <w:col w:w="3981" w:space="708"/>
        <w:col w:w="3627" w:space="708"/>
        <w:col w:w="3981"/>
      </w:cols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1C9" w:rsidRDefault="002651C9">
      <w:pPr>
        <w:spacing w:after="0" w:line="240" w:lineRule="auto"/>
      </w:pPr>
      <w:r>
        <w:separator/>
      </w:r>
    </w:p>
  </w:endnote>
  <w:endnote w:type="continuationSeparator" w:id="0">
    <w:p w:rsidR="002651C9" w:rsidRDefault="00265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5C" w:rsidRPr="009A0FF8" w:rsidRDefault="009A0FF8">
    <w:pPr>
      <w:pStyle w:val="Footer"/>
    </w:pPr>
    <w:r w:rsidRPr="009A0FF8">
      <w:tab/>
    </w:r>
    <w:r w:rsidRPr="009A0FF8">
      <w:tab/>
    </w:r>
    <w:r w:rsidRPr="009A0FF8">
      <w:tab/>
    </w:r>
    <w:r w:rsidRPr="009A0FF8">
      <w:tab/>
    </w:r>
    <w:r w:rsidRPr="009A0FF8">
      <w:tab/>
    </w:r>
    <w:r w:rsidRPr="009A0FF8"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1C9" w:rsidRDefault="002651C9">
      <w:pPr>
        <w:spacing w:after="0" w:line="240" w:lineRule="auto"/>
      </w:pPr>
      <w:r>
        <w:separator/>
      </w:r>
    </w:p>
  </w:footnote>
  <w:footnote w:type="continuationSeparator" w:id="0">
    <w:p w:rsidR="002651C9" w:rsidRDefault="00265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A2325"/>
    <w:multiLevelType w:val="multilevel"/>
    <w:tmpl w:val="EF46DD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F6E63"/>
    <w:multiLevelType w:val="multilevel"/>
    <w:tmpl w:val="4FE0DE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F26A2B"/>
    <w:multiLevelType w:val="multilevel"/>
    <w:tmpl w:val="A30EE6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A3335E"/>
    <w:multiLevelType w:val="multilevel"/>
    <w:tmpl w:val="9A869D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B5A51"/>
    <w:multiLevelType w:val="multilevel"/>
    <w:tmpl w:val="5C20B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283587"/>
    <w:multiLevelType w:val="multilevel"/>
    <w:tmpl w:val="5984A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95568"/>
    <w:multiLevelType w:val="multilevel"/>
    <w:tmpl w:val="6D06F4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143917"/>
    <w:multiLevelType w:val="multilevel"/>
    <w:tmpl w:val="B1B4C7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6176B"/>
    <w:multiLevelType w:val="multilevel"/>
    <w:tmpl w:val="58960E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F63362B"/>
    <w:multiLevelType w:val="multilevel"/>
    <w:tmpl w:val="BED688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1F93D8E"/>
    <w:multiLevelType w:val="multilevel"/>
    <w:tmpl w:val="8758DC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342E97"/>
    <w:multiLevelType w:val="multilevel"/>
    <w:tmpl w:val="0804C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1"/>
  </w:num>
  <w:num w:numId="6">
    <w:abstractNumId w:val="6"/>
  </w:num>
  <w:num w:numId="7">
    <w:abstractNumId w:val="0"/>
  </w:num>
  <w:num w:numId="8">
    <w:abstractNumId w:val="8"/>
  </w:num>
  <w:num w:numId="9">
    <w:abstractNumId w:val="7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5C"/>
    <w:rsid w:val="001A115C"/>
    <w:rsid w:val="00236763"/>
    <w:rsid w:val="002651C9"/>
    <w:rsid w:val="00277080"/>
    <w:rsid w:val="002E2E1F"/>
    <w:rsid w:val="00511226"/>
    <w:rsid w:val="00713CDB"/>
    <w:rsid w:val="008506A5"/>
    <w:rsid w:val="009632E0"/>
    <w:rsid w:val="00985729"/>
    <w:rsid w:val="009A0FF8"/>
    <w:rsid w:val="00C9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16677D9A"/>
  <w15:docId w15:val="{1D3C5F8B-E311-4E3B-9895-BB224E4B6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862CFC"/>
  </w:style>
  <w:style w:type="character" w:customStyle="1" w:styleId="FooterChar">
    <w:name w:val="Footer Char"/>
    <w:basedOn w:val="DefaultParagraphFont"/>
    <w:link w:val="Footer"/>
    <w:uiPriority w:val="99"/>
    <w:qFormat/>
    <w:rsid w:val="00862CFC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60D9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NumberingSymbols">
    <w:name w:val="Numbering Symbols"/>
    <w:qFormat/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ascii="Arial" w:hAnsi="Arial" w:cs="Symbol"/>
      <w:sz w:val="20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20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20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20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Arial" w:hAnsi="Arial" w:cs="Symbol"/>
      <w:sz w:val="20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ascii="Arial" w:hAnsi="Arial" w:cs="Symbol"/>
      <w:sz w:val="20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ascii="Arial" w:hAnsi="Arial" w:cs="Symbol"/>
      <w:sz w:val="20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ascii="Arial" w:hAnsi="Arial" w:cs="Symbol"/>
      <w:sz w:val="20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Symbol"/>
      <w:sz w:val="20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ascii="Arial" w:hAnsi="Arial" w:cs="Symbol"/>
      <w:sz w:val="20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ascii="Arial" w:hAnsi="Arial" w:cs="Symbol"/>
      <w:sz w:val="20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ascii="Arial" w:hAnsi="Arial" w:cs="Symbol"/>
      <w:sz w:val="20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ascii="Arial" w:hAnsi="Arial" w:cs="Symbol"/>
      <w:sz w:val="20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ascii="Arial" w:hAnsi="Arial" w:cs="Symbol"/>
      <w:sz w:val="20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63">
    <w:name w:val="ListLabel 163"/>
    <w:qFormat/>
    <w:rPr>
      <w:rFonts w:ascii="Arial" w:hAnsi="Arial" w:cs="Symbol"/>
      <w:sz w:val="20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ascii="Arial" w:hAnsi="Arial" w:cs="Symbol"/>
      <w:sz w:val="20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ascii="Arial" w:hAnsi="Arial" w:cs="Symbol"/>
      <w:sz w:val="20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ascii="Arial" w:hAnsi="Arial" w:cs="Symbol"/>
      <w:sz w:val="20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ascii="Arial" w:hAnsi="Arial" w:cs="Symbol"/>
      <w:sz w:val="20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ascii="Arial" w:hAnsi="Arial" w:cs="Symbol"/>
      <w:sz w:val="20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ascii="Arial" w:hAnsi="Arial" w:cs="Symbol"/>
      <w:sz w:val="20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ascii="Arial" w:hAnsi="Arial" w:cs="Symbol"/>
      <w:sz w:val="20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ascii="Arial" w:hAnsi="Arial" w:cs="Symbol"/>
      <w:sz w:val="20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ascii="Arial" w:hAnsi="Arial" w:cs="Symbol"/>
      <w:sz w:val="20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ascii="Arial" w:hAnsi="Arial" w:cs="Symbol"/>
      <w:sz w:val="20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ascii="Arial" w:hAnsi="Arial" w:cs="Symbol"/>
      <w:sz w:val="20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ascii="Arial" w:hAnsi="Arial" w:cs="Symbol"/>
      <w:sz w:val="20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ascii="Arial" w:hAnsi="Arial" w:cs="Symbol"/>
      <w:sz w:val="20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ascii="Arial" w:hAnsi="Arial" w:cs="Symbol"/>
      <w:sz w:val="20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ascii="Arial" w:hAnsi="Arial" w:cs="Symbol"/>
      <w:sz w:val="20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ascii="Arial" w:hAnsi="Arial" w:cs="Symbol"/>
      <w:sz w:val="20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ascii="Arial" w:hAnsi="Arial" w:cs="Symbol"/>
      <w:sz w:val="20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ascii="Arial" w:hAnsi="Arial" w:cs="Symbol"/>
      <w:sz w:val="20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ascii="Arial" w:hAnsi="Arial" w:cs="Symbol"/>
      <w:sz w:val="20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ascii="Arial" w:hAnsi="Arial" w:cs="Symbol"/>
      <w:sz w:val="20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ascii="Arial" w:hAnsi="Arial" w:cs="Symbol"/>
      <w:sz w:val="20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ascii="Arial" w:hAnsi="Arial" w:cs="Symbol"/>
      <w:sz w:val="20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ascii="Arial" w:hAnsi="Arial" w:cs="Symbol"/>
      <w:sz w:val="20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ascii="Arial" w:hAnsi="Arial" w:cs="Symbol"/>
      <w:sz w:val="20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ascii="Arial" w:hAnsi="Arial" w:cs="Symbol"/>
      <w:sz w:val="20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ascii="Arial" w:hAnsi="Arial" w:cs="Symbol"/>
      <w:sz w:val="20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ascii="Arial" w:hAnsi="Arial" w:cs="Symbol"/>
      <w:sz w:val="20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ascii="Arial" w:hAnsi="Arial" w:cs="Symbol"/>
      <w:sz w:val="20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ascii="Arial" w:hAnsi="Arial" w:cs="Symbol"/>
      <w:sz w:val="20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ascii="Arial" w:hAnsi="Arial" w:cs="Symbol"/>
      <w:sz w:val="20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cs="Symbol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ascii="Arial" w:hAnsi="Arial" w:cs="Symbol"/>
      <w:sz w:val="20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ascii="Arial" w:hAnsi="Arial" w:cs="Symbol"/>
      <w:sz w:val="20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Courier New"/>
    </w:rPr>
  </w:style>
  <w:style w:type="character" w:customStyle="1" w:styleId="ListLabel459">
    <w:name w:val="ListLabel 459"/>
    <w:qFormat/>
    <w:rPr>
      <w:rFonts w:cs="Wingdings"/>
    </w:rPr>
  </w:style>
  <w:style w:type="character" w:customStyle="1" w:styleId="ListLabel460">
    <w:name w:val="ListLabel 460"/>
    <w:qFormat/>
    <w:rPr>
      <w:rFonts w:ascii="Arial" w:hAnsi="Arial" w:cs="Symbol"/>
      <w:sz w:val="20"/>
    </w:rPr>
  </w:style>
  <w:style w:type="character" w:customStyle="1" w:styleId="ListLabel461">
    <w:name w:val="ListLabel 461"/>
    <w:qFormat/>
    <w:rPr>
      <w:rFonts w:cs="Courier New"/>
    </w:rPr>
  </w:style>
  <w:style w:type="character" w:customStyle="1" w:styleId="ListLabel462">
    <w:name w:val="ListLabel 462"/>
    <w:qFormat/>
    <w:rPr>
      <w:rFonts w:cs="Wingdings"/>
    </w:rPr>
  </w:style>
  <w:style w:type="character" w:customStyle="1" w:styleId="ListLabel463">
    <w:name w:val="ListLabel 463"/>
    <w:qFormat/>
    <w:rPr>
      <w:rFonts w:cs="Symbol"/>
    </w:rPr>
  </w:style>
  <w:style w:type="character" w:customStyle="1" w:styleId="ListLabel464">
    <w:name w:val="ListLabel 464"/>
    <w:qFormat/>
    <w:rPr>
      <w:rFonts w:cs="Courier New"/>
    </w:rPr>
  </w:style>
  <w:style w:type="character" w:customStyle="1" w:styleId="ListLabel465">
    <w:name w:val="ListLabel 465"/>
    <w:qFormat/>
    <w:rPr>
      <w:rFonts w:cs="Wingdings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Courier New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ascii="Arial" w:hAnsi="Arial" w:cs="Symbol"/>
      <w:sz w:val="20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ascii="Arial" w:hAnsi="Arial" w:cs="Symbol"/>
      <w:sz w:val="20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ascii="Arial" w:hAnsi="Arial" w:cs="Symbol"/>
      <w:sz w:val="20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Symbol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ascii="Arial" w:hAnsi="Arial" w:cs="Symbol"/>
      <w:sz w:val="20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ascii="Arial" w:hAnsi="Arial" w:cs="Symbol"/>
      <w:sz w:val="20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ascii="Arial" w:hAnsi="Arial" w:cs="Symbol"/>
      <w:sz w:val="20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Symbol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ascii="Arial" w:hAnsi="Arial" w:cs="Symbol"/>
      <w:sz w:val="20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ascii="Arial" w:hAnsi="Arial" w:cs="Symbol"/>
      <w:sz w:val="20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ascii="Arial" w:hAnsi="Arial" w:cs="Symbol"/>
      <w:sz w:val="20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Wingdings"/>
    </w:rPr>
  </w:style>
  <w:style w:type="character" w:customStyle="1" w:styleId="ListLabel547">
    <w:name w:val="ListLabel 547"/>
    <w:qFormat/>
    <w:rPr>
      <w:rFonts w:cs="Symbol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Wingdings"/>
    </w:rPr>
  </w:style>
  <w:style w:type="character" w:customStyle="1" w:styleId="ListLabel550">
    <w:name w:val="ListLabel 550"/>
    <w:qFormat/>
    <w:rPr>
      <w:rFonts w:ascii="Arial" w:hAnsi="Arial" w:cs="Symbol"/>
      <w:sz w:val="20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rFonts w:cs="Wingdings"/>
    </w:rPr>
  </w:style>
  <w:style w:type="character" w:customStyle="1" w:styleId="ListLabel553">
    <w:name w:val="ListLabel 553"/>
    <w:qFormat/>
    <w:rPr>
      <w:rFonts w:cs="Symbol"/>
    </w:rPr>
  </w:style>
  <w:style w:type="character" w:customStyle="1" w:styleId="ListLabel554">
    <w:name w:val="ListLabel 554"/>
    <w:qFormat/>
    <w:rPr>
      <w:rFonts w:cs="Courier New"/>
    </w:rPr>
  </w:style>
  <w:style w:type="character" w:customStyle="1" w:styleId="ListLabel555">
    <w:name w:val="ListLabel 555"/>
    <w:qFormat/>
    <w:rPr>
      <w:rFonts w:cs="Wingdings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Courier New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ascii="Arial" w:hAnsi="Arial" w:cs="Symbol"/>
      <w:sz w:val="20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Courier New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Courier New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ascii="Arial" w:hAnsi="Arial" w:cs="Symbol"/>
      <w:sz w:val="20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Wingdings"/>
    </w:rPr>
  </w:style>
  <w:style w:type="character" w:customStyle="1" w:styleId="ListLabel577">
    <w:name w:val="ListLabel 577"/>
    <w:qFormat/>
    <w:rPr>
      <w:rFonts w:ascii="Arial" w:hAnsi="Arial" w:cs="Symbol"/>
      <w:sz w:val="20"/>
    </w:rPr>
  </w:style>
  <w:style w:type="character" w:customStyle="1" w:styleId="ListLabel578">
    <w:name w:val="ListLabel 578"/>
    <w:qFormat/>
    <w:rPr>
      <w:rFonts w:cs="Courier New"/>
    </w:rPr>
  </w:style>
  <w:style w:type="character" w:customStyle="1" w:styleId="ListLabel579">
    <w:name w:val="ListLabel 579"/>
    <w:qFormat/>
    <w:rPr>
      <w:rFonts w:cs="Wingdings"/>
    </w:rPr>
  </w:style>
  <w:style w:type="character" w:customStyle="1" w:styleId="ListLabel580">
    <w:name w:val="ListLabel 580"/>
    <w:qFormat/>
    <w:rPr>
      <w:rFonts w:cs="Symbol"/>
    </w:rPr>
  </w:style>
  <w:style w:type="character" w:customStyle="1" w:styleId="ListLabel581">
    <w:name w:val="ListLabel 581"/>
    <w:qFormat/>
    <w:rPr>
      <w:rFonts w:cs="Courier New"/>
    </w:rPr>
  </w:style>
  <w:style w:type="character" w:customStyle="1" w:styleId="ListLabel582">
    <w:name w:val="ListLabel 582"/>
    <w:qFormat/>
    <w:rPr>
      <w:rFonts w:cs="Wingdings"/>
    </w:rPr>
  </w:style>
  <w:style w:type="character" w:customStyle="1" w:styleId="ListLabel583">
    <w:name w:val="ListLabel 583"/>
    <w:qFormat/>
    <w:rPr>
      <w:rFonts w:cs="Symbol"/>
    </w:rPr>
  </w:style>
  <w:style w:type="character" w:customStyle="1" w:styleId="ListLabel584">
    <w:name w:val="ListLabel 584"/>
    <w:qFormat/>
    <w:rPr>
      <w:rFonts w:cs="Courier New"/>
    </w:rPr>
  </w:style>
  <w:style w:type="character" w:customStyle="1" w:styleId="ListLabel585">
    <w:name w:val="ListLabel 585"/>
    <w:qFormat/>
    <w:rPr>
      <w:rFonts w:cs="Wingdings"/>
    </w:rPr>
  </w:style>
  <w:style w:type="character" w:customStyle="1" w:styleId="ListLabel586">
    <w:name w:val="ListLabel 586"/>
    <w:qFormat/>
    <w:rPr>
      <w:rFonts w:ascii="Arial" w:hAnsi="Arial" w:cs="Symbol"/>
      <w:sz w:val="20"/>
    </w:rPr>
  </w:style>
  <w:style w:type="character" w:customStyle="1" w:styleId="ListLabel587">
    <w:name w:val="ListLabel 587"/>
    <w:qFormat/>
    <w:rPr>
      <w:rFonts w:cs="Courier New"/>
    </w:rPr>
  </w:style>
  <w:style w:type="character" w:customStyle="1" w:styleId="ListLabel588">
    <w:name w:val="ListLabel 588"/>
    <w:qFormat/>
    <w:rPr>
      <w:rFonts w:cs="Wingdings"/>
    </w:rPr>
  </w:style>
  <w:style w:type="character" w:customStyle="1" w:styleId="ListLabel589">
    <w:name w:val="ListLabel 589"/>
    <w:qFormat/>
    <w:rPr>
      <w:rFonts w:cs="Symbol"/>
    </w:rPr>
  </w:style>
  <w:style w:type="character" w:customStyle="1" w:styleId="ListLabel590">
    <w:name w:val="ListLabel 590"/>
    <w:qFormat/>
    <w:rPr>
      <w:rFonts w:cs="Courier New"/>
    </w:rPr>
  </w:style>
  <w:style w:type="character" w:customStyle="1" w:styleId="ListLabel591">
    <w:name w:val="ListLabel 591"/>
    <w:qFormat/>
    <w:rPr>
      <w:rFonts w:cs="Wingdings"/>
    </w:rPr>
  </w:style>
  <w:style w:type="character" w:customStyle="1" w:styleId="ListLabel592">
    <w:name w:val="ListLabel 592"/>
    <w:qFormat/>
    <w:rPr>
      <w:rFonts w:cs="Symbol"/>
    </w:rPr>
  </w:style>
  <w:style w:type="character" w:customStyle="1" w:styleId="ListLabel593">
    <w:name w:val="ListLabel 593"/>
    <w:qFormat/>
    <w:rPr>
      <w:rFonts w:cs="Courier New"/>
    </w:rPr>
  </w:style>
  <w:style w:type="character" w:customStyle="1" w:styleId="ListLabel594">
    <w:name w:val="ListLabel 594"/>
    <w:qFormat/>
    <w:rPr>
      <w:rFonts w:cs="Wingdings"/>
    </w:rPr>
  </w:style>
  <w:style w:type="character" w:customStyle="1" w:styleId="ListLabel595">
    <w:name w:val="ListLabel 595"/>
    <w:qFormat/>
    <w:rPr>
      <w:rFonts w:ascii="Arial" w:hAnsi="Arial" w:cs="Symbol"/>
      <w:sz w:val="20"/>
    </w:rPr>
  </w:style>
  <w:style w:type="character" w:customStyle="1" w:styleId="ListLabel596">
    <w:name w:val="ListLabel 596"/>
    <w:qFormat/>
    <w:rPr>
      <w:rFonts w:cs="Courier New"/>
    </w:rPr>
  </w:style>
  <w:style w:type="character" w:customStyle="1" w:styleId="ListLabel597">
    <w:name w:val="ListLabel 597"/>
    <w:qFormat/>
    <w:rPr>
      <w:rFonts w:cs="Wingdings"/>
    </w:rPr>
  </w:style>
  <w:style w:type="character" w:customStyle="1" w:styleId="ListLabel598">
    <w:name w:val="ListLabel 598"/>
    <w:qFormat/>
    <w:rPr>
      <w:rFonts w:cs="Symbol"/>
    </w:rPr>
  </w:style>
  <w:style w:type="character" w:customStyle="1" w:styleId="ListLabel599">
    <w:name w:val="ListLabel 599"/>
    <w:qFormat/>
    <w:rPr>
      <w:rFonts w:cs="Courier New"/>
    </w:rPr>
  </w:style>
  <w:style w:type="character" w:customStyle="1" w:styleId="ListLabel600">
    <w:name w:val="ListLabel 600"/>
    <w:qFormat/>
    <w:rPr>
      <w:rFonts w:cs="Wingdings"/>
    </w:rPr>
  </w:style>
  <w:style w:type="character" w:customStyle="1" w:styleId="ListLabel601">
    <w:name w:val="ListLabel 601"/>
    <w:qFormat/>
    <w:rPr>
      <w:rFonts w:cs="Symbol"/>
    </w:rPr>
  </w:style>
  <w:style w:type="character" w:customStyle="1" w:styleId="ListLabel602">
    <w:name w:val="ListLabel 602"/>
    <w:qFormat/>
    <w:rPr>
      <w:rFonts w:cs="Courier New"/>
    </w:rPr>
  </w:style>
  <w:style w:type="character" w:customStyle="1" w:styleId="ListLabel603">
    <w:name w:val="ListLabel 603"/>
    <w:qFormat/>
    <w:rPr>
      <w:rFonts w:cs="Wingdings"/>
    </w:rPr>
  </w:style>
  <w:style w:type="character" w:customStyle="1" w:styleId="ListLabel604">
    <w:name w:val="ListLabel 604"/>
    <w:qFormat/>
    <w:rPr>
      <w:rFonts w:ascii="Arial" w:hAnsi="Arial" w:cs="Symbol"/>
      <w:sz w:val="20"/>
    </w:rPr>
  </w:style>
  <w:style w:type="character" w:customStyle="1" w:styleId="ListLabel605">
    <w:name w:val="ListLabel 605"/>
    <w:qFormat/>
    <w:rPr>
      <w:rFonts w:cs="Courier New"/>
    </w:rPr>
  </w:style>
  <w:style w:type="character" w:customStyle="1" w:styleId="ListLabel606">
    <w:name w:val="ListLabel 606"/>
    <w:qFormat/>
    <w:rPr>
      <w:rFonts w:cs="Wingdings"/>
    </w:rPr>
  </w:style>
  <w:style w:type="character" w:customStyle="1" w:styleId="ListLabel607">
    <w:name w:val="ListLabel 607"/>
    <w:qFormat/>
    <w:rPr>
      <w:rFonts w:cs="Symbol"/>
    </w:rPr>
  </w:style>
  <w:style w:type="character" w:customStyle="1" w:styleId="ListLabel608">
    <w:name w:val="ListLabel 608"/>
    <w:qFormat/>
    <w:rPr>
      <w:rFonts w:cs="Courier New"/>
    </w:rPr>
  </w:style>
  <w:style w:type="character" w:customStyle="1" w:styleId="ListLabel609">
    <w:name w:val="ListLabel 609"/>
    <w:qFormat/>
    <w:rPr>
      <w:rFonts w:cs="Wingdings"/>
    </w:rPr>
  </w:style>
  <w:style w:type="character" w:customStyle="1" w:styleId="ListLabel610">
    <w:name w:val="ListLabel 610"/>
    <w:qFormat/>
    <w:rPr>
      <w:rFonts w:cs="Symbol"/>
    </w:rPr>
  </w:style>
  <w:style w:type="character" w:customStyle="1" w:styleId="ListLabel611">
    <w:name w:val="ListLabel 611"/>
    <w:qFormat/>
    <w:rPr>
      <w:rFonts w:cs="Courier New"/>
    </w:rPr>
  </w:style>
  <w:style w:type="character" w:customStyle="1" w:styleId="ListLabel612">
    <w:name w:val="ListLabel 612"/>
    <w:qFormat/>
    <w:rPr>
      <w:rFonts w:cs="Wingdings"/>
    </w:rPr>
  </w:style>
  <w:style w:type="character" w:customStyle="1" w:styleId="ListLabel613">
    <w:name w:val="ListLabel 613"/>
    <w:qFormat/>
    <w:rPr>
      <w:rFonts w:ascii="Arial" w:hAnsi="Arial" w:cs="Symbol"/>
      <w:sz w:val="20"/>
    </w:rPr>
  </w:style>
  <w:style w:type="character" w:customStyle="1" w:styleId="ListLabel614">
    <w:name w:val="ListLabel 614"/>
    <w:qFormat/>
    <w:rPr>
      <w:rFonts w:cs="Courier New"/>
    </w:rPr>
  </w:style>
  <w:style w:type="character" w:customStyle="1" w:styleId="ListLabel615">
    <w:name w:val="ListLabel 615"/>
    <w:qFormat/>
    <w:rPr>
      <w:rFonts w:cs="Wingdings"/>
    </w:rPr>
  </w:style>
  <w:style w:type="character" w:customStyle="1" w:styleId="ListLabel616">
    <w:name w:val="ListLabel 616"/>
    <w:qFormat/>
    <w:rPr>
      <w:rFonts w:cs="Symbol"/>
    </w:rPr>
  </w:style>
  <w:style w:type="character" w:customStyle="1" w:styleId="ListLabel617">
    <w:name w:val="ListLabel 617"/>
    <w:qFormat/>
    <w:rPr>
      <w:rFonts w:cs="Courier New"/>
    </w:rPr>
  </w:style>
  <w:style w:type="character" w:customStyle="1" w:styleId="ListLabel618">
    <w:name w:val="ListLabel 618"/>
    <w:qFormat/>
    <w:rPr>
      <w:rFonts w:cs="Wingdings"/>
    </w:rPr>
  </w:style>
  <w:style w:type="character" w:customStyle="1" w:styleId="ListLabel619">
    <w:name w:val="ListLabel 619"/>
    <w:qFormat/>
    <w:rPr>
      <w:rFonts w:cs="Symbol"/>
    </w:rPr>
  </w:style>
  <w:style w:type="character" w:customStyle="1" w:styleId="ListLabel620">
    <w:name w:val="ListLabel 620"/>
    <w:qFormat/>
    <w:rPr>
      <w:rFonts w:cs="Courier New"/>
    </w:rPr>
  </w:style>
  <w:style w:type="character" w:customStyle="1" w:styleId="ListLabel621">
    <w:name w:val="ListLabel 621"/>
    <w:qFormat/>
    <w:rPr>
      <w:rFonts w:cs="Wingdings"/>
    </w:rPr>
  </w:style>
  <w:style w:type="character" w:customStyle="1" w:styleId="ListLabel622">
    <w:name w:val="ListLabel 622"/>
    <w:qFormat/>
    <w:rPr>
      <w:rFonts w:ascii="Arial" w:hAnsi="Arial" w:cs="Symbol"/>
      <w:sz w:val="20"/>
    </w:rPr>
  </w:style>
  <w:style w:type="character" w:customStyle="1" w:styleId="ListLabel623">
    <w:name w:val="ListLabel 623"/>
    <w:qFormat/>
    <w:rPr>
      <w:rFonts w:cs="Courier New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Arial" w:hAnsi="Arial" w:cs="Symbol"/>
      <w:sz w:val="20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Arial" w:hAnsi="Arial" w:cs="Symbol"/>
      <w:sz w:val="20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Arial" w:hAnsi="Arial" w:cs="Symbol"/>
      <w:sz w:val="20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Arial" w:hAnsi="Arial" w:cs="Symbol"/>
      <w:sz w:val="20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5053AB"/>
    <w:rPr>
      <w:color w:val="00000A"/>
      <w:sz w:val="22"/>
    </w:rPr>
  </w:style>
  <w:style w:type="paragraph" w:styleId="Header">
    <w:name w:val="header"/>
    <w:basedOn w:val="Normal"/>
    <w:link w:val="HeaderCh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865C4A"/>
    <w:rPr>
      <w:rFonts w:ascii="Arial" w:eastAsia="Calibri" w:hAnsi="Arial" w:cs="Arial"/>
      <w:color w:val="000000"/>
      <w:sz w:val="24"/>
      <w:szCs w:val="24"/>
    </w:rPr>
  </w:style>
  <w:style w:type="paragraph" w:customStyle="1" w:styleId="FrameContents">
    <w:name w:val="Frame Contents"/>
    <w:basedOn w:val="Normal"/>
    <w:qFormat/>
  </w:style>
  <w:style w:type="paragraph" w:styleId="ListParagraph">
    <w:name w:val="List Paragraph"/>
    <w:basedOn w:val="Normal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Cs w:val="24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TableGrid">
    <w:name w:val="Table Grid"/>
    <w:basedOn w:val="TableNormal"/>
    <w:uiPriority w:val="39"/>
    <w:rsid w:val="00505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ondopyme.gob.m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3376</Words>
  <Characters>18572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letty</cp:lastModifiedBy>
  <cp:revision>5</cp:revision>
  <cp:lastPrinted>2016-01-11T15:55:00Z</cp:lastPrinted>
  <dcterms:created xsi:type="dcterms:W3CDTF">2018-01-28T20:54:00Z</dcterms:created>
  <dcterms:modified xsi:type="dcterms:W3CDTF">2018-03-03T20:06:00Z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